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BA1E" w14:textId="083E09A6" w:rsidR="00721EA2" w:rsidRPr="00721EA2" w:rsidRDefault="000D554C" w:rsidP="00721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MỤC </w:t>
      </w:r>
      <w:r w:rsidR="00721EA2" w:rsidRPr="00721EA2">
        <w:rPr>
          <w:b/>
          <w:sz w:val="28"/>
          <w:szCs w:val="28"/>
        </w:rPr>
        <w:t xml:space="preserve">THỦ TỤC HÀNH CHÍNH ĐƯỢC THAY THẾ </w:t>
      </w:r>
      <w:r w:rsidR="00721EA2">
        <w:rPr>
          <w:b/>
          <w:sz w:val="28"/>
          <w:szCs w:val="28"/>
        </w:rPr>
        <w:t xml:space="preserve">TRONG LÍNH VỰC XỬ LÝ ĐƠN VÀ LĨNH VỰC TIẾP CÔNG DÂN </w:t>
      </w:r>
      <w:r w:rsidR="00721EA2" w:rsidRPr="00721EA2">
        <w:rPr>
          <w:b/>
          <w:sz w:val="28"/>
          <w:szCs w:val="28"/>
        </w:rPr>
        <w:t>THUỘC PHẠM VI QUẢN LÝ NHÀ NƯỚC CỦA THANH TRA TỈNH</w:t>
      </w:r>
    </w:p>
    <w:p w14:paraId="31FF8AB3" w14:textId="2F44D23A" w:rsidR="009E6458" w:rsidRPr="008F3994" w:rsidRDefault="009E6458" w:rsidP="009E6458">
      <w:pPr>
        <w:ind w:right="45"/>
        <w:jc w:val="center"/>
        <w:rPr>
          <w:bCs/>
          <w:i/>
          <w:sz w:val="27"/>
          <w:szCs w:val="27"/>
        </w:rPr>
      </w:pPr>
      <w:r w:rsidRPr="008F3994">
        <w:rPr>
          <w:bCs/>
          <w:i/>
          <w:sz w:val="27"/>
          <w:szCs w:val="27"/>
        </w:rPr>
        <w:t xml:space="preserve">(Ban hành Kèm theo Quyết định số            /QĐ-UBND ngày      tháng </w:t>
      </w:r>
      <w:r w:rsidR="003E244D">
        <w:rPr>
          <w:bCs/>
          <w:i/>
          <w:sz w:val="27"/>
          <w:szCs w:val="27"/>
        </w:rPr>
        <w:t>6</w:t>
      </w:r>
      <w:r w:rsidRPr="008F3994">
        <w:rPr>
          <w:bCs/>
          <w:i/>
          <w:sz w:val="27"/>
          <w:szCs w:val="27"/>
        </w:rPr>
        <w:t xml:space="preserve"> năm 2022 của Chủ tịch UBND tỉnh Thừa Thiên Huế)</w:t>
      </w:r>
    </w:p>
    <w:p w14:paraId="3378CA26" w14:textId="77D369ED" w:rsidR="009E6458" w:rsidRPr="008F3994" w:rsidRDefault="009E6458" w:rsidP="009E6458">
      <w:pPr>
        <w:jc w:val="center"/>
        <w:outlineLvl w:val="0"/>
        <w:rPr>
          <w:b/>
          <w:sz w:val="28"/>
          <w:szCs w:val="28"/>
        </w:rPr>
      </w:pPr>
      <w:r w:rsidRPr="008F3994"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78992" wp14:editId="6A05B3E6">
                <wp:simplePos x="0" y="0"/>
                <wp:positionH relativeFrom="column">
                  <wp:posOffset>2089150</wp:posOffset>
                </wp:positionH>
                <wp:positionV relativeFrom="paragraph">
                  <wp:posOffset>57785</wp:posOffset>
                </wp:positionV>
                <wp:extent cx="4895850" cy="0"/>
                <wp:effectExtent l="6985" t="6985" r="12065" b="12065"/>
                <wp:wrapNone/>
                <wp:docPr id="4" name="Đường kết nối Mũi tên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8B0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4" o:spid="_x0000_s1026" type="#_x0000_t32" style="position:absolute;margin-left:164.5pt;margin-top:4.55pt;width:38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"/>
            </w:pict>
          </mc:Fallback>
        </mc:AlternateContent>
      </w:r>
    </w:p>
    <w:p w14:paraId="48720476" w14:textId="77777777" w:rsidR="00721EA2" w:rsidRPr="00F1150A" w:rsidRDefault="00721EA2" w:rsidP="009E6458">
      <w:pPr>
        <w:widowControl w:val="0"/>
        <w:ind w:firstLine="567"/>
        <w:rPr>
          <w:b/>
          <w:bCs/>
          <w:sz w:val="26"/>
          <w:szCs w:val="26"/>
        </w:rPr>
      </w:pPr>
    </w:p>
    <w:tbl>
      <w:tblPr>
        <w:tblStyle w:val="TableGrid"/>
        <w:tblW w:w="14680" w:type="dxa"/>
        <w:jc w:val="center"/>
        <w:tblLook w:val="04A0" w:firstRow="1" w:lastRow="0" w:firstColumn="1" w:lastColumn="0" w:noHBand="0" w:noVBand="1"/>
      </w:tblPr>
      <w:tblGrid>
        <w:gridCol w:w="743"/>
        <w:gridCol w:w="2897"/>
        <w:gridCol w:w="3359"/>
        <w:gridCol w:w="1897"/>
        <w:gridCol w:w="1765"/>
        <w:gridCol w:w="2231"/>
        <w:gridCol w:w="1788"/>
      </w:tblGrid>
      <w:tr w:rsidR="002D5075" w:rsidRPr="00F1150A" w14:paraId="283DC291" w14:textId="77777777" w:rsidTr="00F1150A">
        <w:trPr>
          <w:jc w:val="center"/>
        </w:trPr>
        <w:tc>
          <w:tcPr>
            <w:tcW w:w="743" w:type="dxa"/>
            <w:vAlign w:val="center"/>
          </w:tcPr>
          <w:p w14:paraId="1FDBCFEC" w14:textId="4C57F8E3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897" w:type="dxa"/>
            <w:vAlign w:val="center"/>
          </w:tcPr>
          <w:p w14:paraId="4EC44928" w14:textId="68BB12B8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Tên TTHC được thay thế (cũ)</w:t>
            </w:r>
          </w:p>
        </w:tc>
        <w:tc>
          <w:tcPr>
            <w:tcW w:w="3359" w:type="dxa"/>
            <w:vAlign w:val="center"/>
          </w:tcPr>
          <w:p w14:paraId="5B3754C1" w14:textId="385332BF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Tên TTHC thay thế (mới)/Mã TTHC</w:t>
            </w:r>
          </w:p>
        </w:tc>
        <w:tc>
          <w:tcPr>
            <w:tcW w:w="1897" w:type="dxa"/>
            <w:vAlign w:val="center"/>
          </w:tcPr>
          <w:p w14:paraId="74BB460E" w14:textId="6ACEACE4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Thời gian thực hiện TTHC</w:t>
            </w:r>
          </w:p>
        </w:tc>
        <w:tc>
          <w:tcPr>
            <w:tcW w:w="1765" w:type="dxa"/>
            <w:vAlign w:val="center"/>
          </w:tcPr>
          <w:p w14:paraId="647C576D" w14:textId="07DB95BD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Cách thức và địa điểm thực hiện</w:t>
            </w:r>
          </w:p>
        </w:tc>
        <w:tc>
          <w:tcPr>
            <w:tcW w:w="2231" w:type="dxa"/>
            <w:vAlign w:val="center"/>
          </w:tcPr>
          <w:p w14:paraId="4F7B6E09" w14:textId="3A944087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Tên VBQPPL quy định nội dung thay thế</w:t>
            </w:r>
          </w:p>
        </w:tc>
        <w:tc>
          <w:tcPr>
            <w:tcW w:w="1788" w:type="dxa"/>
            <w:vAlign w:val="center"/>
          </w:tcPr>
          <w:p w14:paraId="4D393F49" w14:textId="7F691079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Cơ quan thực hiện</w:t>
            </w:r>
          </w:p>
        </w:tc>
      </w:tr>
      <w:tr w:rsidR="002D5075" w:rsidRPr="00F1150A" w14:paraId="5243EFA0" w14:textId="77777777" w:rsidTr="00F1150A">
        <w:trPr>
          <w:jc w:val="center"/>
        </w:trPr>
        <w:tc>
          <w:tcPr>
            <w:tcW w:w="743" w:type="dxa"/>
            <w:vAlign w:val="center"/>
          </w:tcPr>
          <w:p w14:paraId="645DEF7E" w14:textId="74F3D4A3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3937" w:type="dxa"/>
            <w:gridSpan w:val="6"/>
            <w:vAlign w:val="center"/>
          </w:tcPr>
          <w:p w14:paraId="2AE29A3D" w14:textId="1132EF61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CẤP TỈNH</w:t>
            </w:r>
          </w:p>
        </w:tc>
      </w:tr>
      <w:tr w:rsidR="002D5075" w:rsidRPr="00F1150A" w14:paraId="1C968CBD" w14:textId="77777777" w:rsidTr="00F1150A">
        <w:trPr>
          <w:jc w:val="center"/>
        </w:trPr>
        <w:tc>
          <w:tcPr>
            <w:tcW w:w="743" w:type="dxa"/>
            <w:vAlign w:val="center"/>
          </w:tcPr>
          <w:p w14:paraId="134CA252" w14:textId="4931625B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897" w:type="dxa"/>
            <w:vAlign w:val="center"/>
          </w:tcPr>
          <w:p w14:paraId="7DFBEB6B" w14:textId="6F28C366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Lĩnh vực xử lý đơn</w:t>
            </w:r>
          </w:p>
        </w:tc>
        <w:tc>
          <w:tcPr>
            <w:tcW w:w="3359" w:type="dxa"/>
            <w:vAlign w:val="center"/>
          </w:tcPr>
          <w:p w14:paraId="44835A96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97" w:type="dxa"/>
            <w:vAlign w:val="center"/>
          </w:tcPr>
          <w:p w14:paraId="7E3709ED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4E9923C0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2084B658" w14:textId="6D541AE8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14:paraId="1E542184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5075" w:rsidRPr="00F1150A" w14:paraId="6C0A0E97" w14:textId="77777777" w:rsidTr="00F1150A">
        <w:trPr>
          <w:jc w:val="center"/>
        </w:trPr>
        <w:tc>
          <w:tcPr>
            <w:tcW w:w="743" w:type="dxa"/>
            <w:vAlign w:val="center"/>
          </w:tcPr>
          <w:p w14:paraId="56A1E296" w14:textId="27BADBA2" w:rsidR="002D5075" w:rsidRPr="00F1150A" w:rsidRDefault="002D5075" w:rsidP="002D5075">
            <w:pPr>
              <w:jc w:val="center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1</w:t>
            </w:r>
          </w:p>
        </w:tc>
        <w:tc>
          <w:tcPr>
            <w:tcW w:w="2897" w:type="dxa"/>
            <w:vAlign w:val="center"/>
          </w:tcPr>
          <w:p w14:paraId="1B7E699D" w14:textId="64DE1AA6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Thủ </w:t>
            </w:r>
            <w:r w:rsidRPr="00993FB8">
              <w:rPr>
                <w:sz w:val="26"/>
                <w:szCs w:val="26"/>
              </w:rPr>
              <w:t xml:space="preserve">tục xử lý đơn tại cấp tỉnh </w:t>
            </w:r>
            <w:r w:rsidR="0007572B" w:rsidRPr="00993FB8">
              <w:rPr>
                <w:sz w:val="26"/>
                <w:szCs w:val="26"/>
              </w:rPr>
              <w:t>(</w:t>
            </w:r>
            <w:hyperlink r:id="rId7" w:history="1">
              <w:r w:rsidR="0007572B" w:rsidRPr="00993FB8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2.001899</w:t>
              </w:r>
            </w:hyperlink>
            <w:r w:rsidR="0007572B" w:rsidRPr="00993FB8">
              <w:rPr>
                <w:sz w:val="26"/>
                <w:szCs w:val="26"/>
              </w:rPr>
              <w:t>)</w:t>
            </w:r>
          </w:p>
        </w:tc>
        <w:tc>
          <w:tcPr>
            <w:tcW w:w="3359" w:type="dxa"/>
            <w:vAlign w:val="center"/>
          </w:tcPr>
          <w:p w14:paraId="5BA66CB2" w14:textId="6C74D1B1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Thủ tục xử lý đơn tại cấp tỉnh 2.002499.000.000.00.H</w:t>
            </w:r>
            <w:r w:rsidR="00160170" w:rsidRPr="00F1150A">
              <w:rPr>
                <w:sz w:val="26"/>
                <w:szCs w:val="26"/>
              </w:rPr>
              <w:t>57</w:t>
            </w:r>
          </w:p>
        </w:tc>
        <w:tc>
          <w:tcPr>
            <w:tcW w:w="1897" w:type="dxa"/>
            <w:vAlign w:val="center"/>
          </w:tcPr>
          <w:p w14:paraId="1AA4DF81" w14:textId="5AB6CB52" w:rsidR="002D5075" w:rsidRPr="00F1150A" w:rsidRDefault="002D5075" w:rsidP="0007572B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10 ngày, kể từ ngày nhận được đơn </w:t>
            </w:r>
          </w:p>
        </w:tc>
        <w:tc>
          <w:tcPr>
            <w:tcW w:w="1765" w:type="dxa"/>
            <w:vAlign w:val="center"/>
          </w:tcPr>
          <w:p w14:paraId="0B1D5771" w14:textId="4FD6958F" w:rsidR="002D5075" w:rsidRPr="00F1150A" w:rsidRDefault="00A844E4" w:rsidP="00A844E4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Gửi đơn trực tiếp đến cơ quan hoặc gửi đơn qua dịch vụ bưu chính</w:t>
            </w:r>
          </w:p>
        </w:tc>
        <w:tc>
          <w:tcPr>
            <w:tcW w:w="2231" w:type="dxa"/>
            <w:vAlign w:val="center"/>
          </w:tcPr>
          <w:p w14:paraId="0542490A" w14:textId="77777777" w:rsidR="00A844E4" w:rsidRPr="00F1150A" w:rsidRDefault="00A844E4" w:rsidP="00A844E4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- Luật Khiếu nại ngày 11 tháng 11 năm 2011;</w:t>
            </w:r>
          </w:p>
          <w:p w14:paraId="55ECAF9B" w14:textId="77777777" w:rsidR="00A844E4" w:rsidRPr="00F1150A" w:rsidRDefault="00A844E4" w:rsidP="00A844E4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Luật Tố cáo ngày 12 tháng 6 năm 2018; </w:t>
            </w:r>
          </w:p>
          <w:p w14:paraId="23C6967F" w14:textId="7B599966" w:rsidR="00A844E4" w:rsidRPr="00F1150A" w:rsidRDefault="00A844E4" w:rsidP="00A844E4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Nghị định số 31/2019/NĐ-CP ngày 10 tháng 4 năm 2019 của Chính phủ; </w:t>
            </w:r>
          </w:p>
          <w:p w14:paraId="2063D4BD" w14:textId="4C1FCB8E" w:rsidR="00A844E4" w:rsidRPr="00F1150A" w:rsidRDefault="00A844E4" w:rsidP="00A844E4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Nghị định số 124/2020/NĐ-CP ngày 19 tháng 10 năm 2020 của Chính phủ; </w:t>
            </w:r>
          </w:p>
          <w:p w14:paraId="421F0E7C" w14:textId="3B6699F3" w:rsidR="002D5075" w:rsidRPr="00F1150A" w:rsidRDefault="00A844E4" w:rsidP="00A844E4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1150A">
              <w:rPr>
                <w:i/>
                <w:iCs/>
                <w:sz w:val="26"/>
                <w:szCs w:val="26"/>
              </w:rPr>
              <w:t xml:space="preserve">- </w:t>
            </w:r>
            <w:r w:rsidRPr="00F1150A">
              <w:rPr>
                <w:iCs/>
                <w:spacing w:val="-4"/>
                <w:sz w:val="26"/>
                <w:szCs w:val="26"/>
              </w:rPr>
              <w:t>Thông tư số 05/2021/TT-TTCP ngày 01/10/2021 của Thanh tra Chính phủ.</w:t>
            </w:r>
          </w:p>
        </w:tc>
        <w:tc>
          <w:tcPr>
            <w:tcW w:w="1788" w:type="dxa"/>
            <w:vAlign w:val="center"/>
          </w:tcPr>
          <w:p w14:paraId="3C7B94D9" w14:textId="2F79C4B9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Ủy ban nhân dân cấp tỉnh, Thanh tra tỉnh, các cơ quan chuyên môn thuộc UBND tỉnh </w:t>
            </w:r>
          </w:p>
        </w:tc>
      </w:tr>
      <w:tr w:rsidR="002D5075" w:rsidRPr="00F1150A" w14:paraId="454BC2F3" w14:textId="77777777" w:rsidTr="00F1150A">
        <w:trPr>
          <w:jc w:val="center"/>
        </w:trPr>
        <w:tc>
          <w:tcPr>
            <w:tcW w:w="743" w:type="dxa"/>
            <w:vAlign w:val="center"/>
          </w:tcPr>
          <w:p w14:paraId="34F460C3" w14:textId="679F2A6E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lastRenderedPageBreak/>
              <w:t>II</w:t>
            </w:r>
          </w:p>
        </w:tc>
        <w:tc>
          <w:tcPr>
            <w:tcW w:w="2897" w:type="dxa"/>
            <w:vAlign w:val="center"/>
          </w:tcPr>
          <w:p w14:paraId="1E30DF93" w14:textId="57F43764" w:rsidR="002D5075" w:rsidRPr="00F1150A" w:rsidRDefault="00401061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Lĩnh vực t</w:t>
            </w:r>
            <w:r w:rsidR="002D5075" w:rsidRPr="00F1150A">
              <w:rPr>
                <w:b/>
                <w:bCs/>
                <w:sz w:val="26"/>
                <w:szCs w:val="26"/>
              </w:rPr>
              <w:t xml:space="preserve">iếp công dân </w:t>
            </w:r>
          </w:p>
        </w:tc>
        <w:tc>
          <w:tcPr>
            <w:tcW w:w="3359" w:type="dxa"/>
            <w:vAlign w:val="center"/>
          </w:tcPr>
          <w:p w14:paraId="53FDCFDC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97" w:type="dxa"/>
            <w:vAlign w:val="center"/>
          </w:tcPr>
          <w:p w14:paraId="4B1C135F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280FABE3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0F20054C" w14:textId="7FB04338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14:paraId="5A77E9A8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5075" w:rsidRPr="00F1150A" w14:paraId="6A7CA972" w14:textId="77777777" w:rsidTr="00F1150A">
        <w:trPr>
          <w:jc w:val="center"/>
        </w:trPr>
        <w:tc>
          <w:tcPr>
            <w:tcW w:w="743" w:type="dxa"/>
            <w:vAlign w:val="center"/>
          </w:tcPr>
          <w:p w14:paraId="5890E3C1" w14:textId="46888D99" w:rsidR="002D5075" w:rsidRPr="00F1150A" w:rsidRDefault="002D5075" w:rsidP="002D5075">
            <w:pPr>
              <w:jc w:val="center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1</w:t>
            </w:r>
          </w:p>
        </w:tc>
        <w:tc>
          <w:tcPr>
            <w:tcW w:w="2897" w:type="dxa"/>
            <w:vAlign w:val="center"/>
          </w:tcPr>
          <w:p w14:paraId="497E5155" w14:textId="66252717" w:rsidR="002D5075" w:rsidRPr="00F1150A" w:rsidRDefault="002D5075" w:rsidP="00907981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Thủ tục tiếp công dân tại cấp tỉnh </w:t>
            </w:r>
            <w:r w:rsidR="00160170" w:rsidRPr="00F1150A">
              <w:rPr>
                <w:sz w:val="26"/>
                <w:szCs w:val="26"/>
              </w:rPr>
              <w:t>(</w:t>
            </w:r>
            <w:r w:rsidR="00160170" w:rsidRPr="00F1150A">
              <w:rPr>
                <w:bCs/>
                <w:sz w:val="26"/>
                <w:szCs w:val="26"/>
              </w:rPr>
              <w:t>2.002175)</w:t>
            </w:r>
          </w:p>
        </w:tc>
        <w:tc>
          <w:tcPr>
            <w:tcW w:w="3359" w:type="dxa"/>
            <w:vAlign w:val="center"/>
          </w:tcPr>
          <w:p w14:paraId="0E030B24" w14:textId="548056F7" w:rsidR="002D5075" w:rsidRPr="00F1150A" w:rsidRDefault="002D5075" w:rsidP="00907981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Thủ tục tiếp công dân tại cấp tỉnh 1.010943.000.00.00.H</w:t>
            </w:r>
            <w:r w:rsidR="00DB1949" w:rsidRPr="00F1150A">
              <w:rPr>
                <w:sz w:val="26"/>
                <w:szCs w:val="26"/>
              </w:rPr>
              <w:t>57</w:t>
            </w:r>
            <w:r w:rsidRPr="00F115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14:paraId="25CF0EB7" w14:textId="256CDA60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10 ngày làm việc, kế từ ngày tiếp nhận </w:t>
            </w:r>
          </w:p>
        </w:tc>
        <w:tc>
          <w:tcPr>
            <w:tcW w:w="1765" w:type="dxa"/>
            <w:vAlign w:val="center"/>
          </w:tcPr>
          <w:p w14:paraId="09A27664" w14:textId="49C1FFB6" w:rsidR="002D5075" w:rsidRPr="00F1150A" w:rsidRDefault="00A844E4" w:rsidP="00A844E4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Công dân đến trình bày trực tiếp tại trụ sở tiếp công dân hoặc địa điểm tiếp công dân</w:t>
            </w:r>
          </w:p>
        </w:tc>
        <w:tc>
          <w:tcPr>
            <w:tcW w:w="2231" w:type="dxa"/>
            <w:vAlign w:val="center"/>
          </w:tcPr>
          <w:p w14:paraId="26C4AD2D" w14:textId="77777777" w:rsidR="009623EC" w:rsidRPr="00F1150A" w:rsidRDefault="009623EC" w:rsidP="009623EC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Luật Tiếp công dân năm 2013; </w:t>
            </w:r>
          </w:p>
          <w:p w14:paraId="62346CFD" w14:textId="77777777" w:rsidR="009623EC" w:rsidRPr="00F1150A" w:rsidRDefault="009623EC" w:rsidP="009623EC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Nghị định số 64/2014/NĐ-CP ngày 26/6/2014 của Chính phủ; </w:t>
            </w:r>
          </w:p>
          <w:p w14:paraId="13744385" w14:textId="27A2E786" w:rsidR="002D5075" w:rsidRPr="00F1150A" w:rsidRDefault="009623EC" w:rsidP="009623EC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F1150A">
              <w:rPr>
                <w:i/>
                <w:iCs/>
                <w:sz w:val="26"/>
                <w:szCs w:val="26"/>
              </w:rPr>
              <w:t xml:space="preserve">- </w:t>
            </w:r>
            <w:r w:rsidRPr="00F1150A">
              <w:rPr>
                <w:iCs/>
                <w:spacing w:val="-4"/>
                <w:sz w:val="26"/>
                <w:szCs w:val="26"/>
              </w:rPr>
              <w:t>Thông tư số 04/2021/TT-TTCP ngày 01/10/2021 của Thanh tra Chính phủ.</w:t>
            </w:r>
          </w:p>
        </w:tc>
        <w:tc>
          <w:tcPr>
            <w:tcW w:w="1788" w:type="dxa"/>
            <w:vAlign w:val="center"/>
          </w:tcPr>
          <w:p w14:paraId="6E4F1244" w14:textId="22CC3932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Ủy ban nhân dân cấp tỉnh, Thanh tra tỉnh, các cơ quan chuyên môn thuộc UBND tỉnh</w:t>
            </w:r>
          </w:p>
        </w:tc>
      </w:tr>
      <w:tr w:rsidR="002D5075" w:rsidRPr="00F1150A" w14:paraId="4A91E0AF" w14:textId="77777777" w:rsidTr="00F1150A">
        <w:trPr>
          <w:jc w:val="center"/>
        </w:trPr>
        <w:tc>
          <w:tcPr>
            <w:tcW w:w="743" w:type="dxa"/>
            <w:vAlign w:val="center"/>
          </w:tcPr>
          <w:p w14:paraId="54BE37A9" w14:textId="0FBAF88D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937" w:type="dxa"/>
            <w:gridSpan w:val="6"/>
            <w:vAlign w:val="center"/>
          </w:tcPr>
          <w:p w14:paraId="721FD742" w14:textId="38A49EE3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CẤP HUYỆN</w:t>
            </w:r>
          </w:p>
        </w:tc>
      </w:tr>
      <w:tr w:rsidR="002D5075" w:rsidRPr="00F1150A" w14:paraId="265D69C7" w14:textId="77777777" w:rsidTr="00F1150A">
        <w:trPr>
          <w:jc w:val="center"/>
        </w:trPr>
        <w:tc>
          <w:tcPr>
            <w:tcW w:w="743" w:type="dxa"/>
            <w:vAlign w:val="center"/>
          </w:tcPr>
          <w:p w14:paraId="24BD797B" w14:textId="6AE376CB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897" w:type="dxa"/>
            <w:vAlign w:val="center"/>
          </w:tcPr>
          <w:p w14:paraId="13EA30F0" w14:textId="2B4AC9B4" w:rsidR="002D5075" w:rsidRPr="00F1150A" w:rsidRDefault="002D5075" w:rsidP="00907981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 xml:space="preserve">Lĩnh vực xử lý đơn </w:t>
            </w:r>
          </w:p>
        </w:tc>
        <w:tc>
          <w:tcPr>
            <w:tcW w:w="3359" w:type="dxa"/>
            <w:vAlign w:val="center"/>
          </w:tcPr>
          <w:p w14:paraId="1A642515" w14:textId="77777777" w:rsidR="002D5075" w:rsidRPr="00F1150A" w:rsidRDefault="002D5075" w:rsidP="009079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97" w:type="dxa"/>
            <w:vAlign w:val="center"/>
          </w:tcPr>
          <w:p w14:paraId="0EEF4B75" w14:textId="77777777" w:rsidR="002D5075" w:rsidRPr="00F1150A" w:rsidRDefault="002D5075" w:rsidP="009079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78EE5EDA" w14:textId="77777777" w:rsidR="002D5075" w:rsidRPr="00F1150A" w:rsidRDefault="002D5075" w:rsidP="009079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0D2E7D28" w14:textId="552148B0" w:rsidR="002D5075" w:rsidRPr="00F1150A" w:rsidRDefault="002D5075" w:rsidP="009079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14:paraId="4B841D1B" w14:textId="77777777" w:rsidR="002D5075" w:rsidRPr="00F1150A" w:rsidRDefault="002D5075" w:rsidP="0090798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5075" w:rsidRPr="00F1150A" w14:paraId="79E34FEC" w14:textId="77777777" w:rsidTr="00F1150A">
        <w:trPr>
          <w:jc w:val="center"/>
        </w:trPr>
        <w:tc>
          <w:tcPr>
            <w:tcW w:w="743" w:type="dxa"/>
            <w:vAlign w:val="center"/>
          </w:tcPr>
          <w:p w14:paraId="2EC49306" w14:textId="7FAD05D0" w:rsidR="002D5075" w:rsidRPr="00F1150A" w:rsidRDefault="002D5075" w:rsidP="002D5075">
            <w:pPr>
              <w:jc w:val="center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1</w:t>
            </w:r>
          </w:p>
        </w:tc>
        <w:tc>
          <w:tcPr>
            <w:tcW w:w="2897" w:type="dxa"/>
            <w:vAlign w:val="center"/>
          </w:tcPr>
          <w:p w14:paraId="464911F7" w14:textId="0A99C1C3" w:rsidR="002D5075" w:rsidRPr="00F1150A" w:rsidRDefault="002D5075" w:rsidP="00236DFF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Thủ tục xử lý đơn tại cấp huyện </w:t>
            </w:r>
            <w:r w:rsidR="00236DFF" w:rsidRPr="00F1150A">
              <w:rPr>
                <w:sz w:val="26"/>
                <w:szCs w:val="26"/>
              </w:rPr>
              <w:t>(2.8001879)</w:t>
            </w:r>
          </w:p>
        </w:tc>
        <w:tc>
          <w:tcPr>
            <w:tcW w:w="3359" w:type="dxa"/>
            <w:vAlign w:val="center"/>
          </w:tcPr>
          <w:p w14:paraId="7C4300D3" w14:textId="33A5E4C4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Thủ tục xử lý đơn tại cấp huyện 2.002500.000.00.00.H</w:t>
            </w:r>
            <w:r w:rsidR="00DB1949" w:rsidRPr="00F1150A">
              <w:rPr>
                <w:sz w:val="26"/>
                <w:szCs w:val="26"/>
              </w:rPr>
              <w:t>57</w:t>
            </w:r>
            <w:r w:rsidRPr="00F115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14:paraId="3183A586" w14:textId="54F966C1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10 ngày, kế từ ngày nhận được đơn </w:t>
            </w:r>
          </w:p>
        </w:tc>
        <w:tc>
          <w:tcPr>
            <w:tcW w:w="1765" w:type="dxa"/>
            <w:vAlign w:val="center"/>
          </w:tcPr>
          <w:p w14:paraId="50EE1B75" w14:textId="317FEA39" w:rsidR="002D5075" w:rsidRPr="00F1150A" w:rsidRDefault="009623EC" w:rsidP="009E6458">
            <w:pPr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Gửi đơn trực tiếp đến cơ quan hoặc gửi đơn qua dịch vụ bưu chính</w:t>
            </w:r>
          </w:p>
        </w:tc>
        <w:tc>
          <w:tcPr>
            <w:tcW w:w="2231" w:type="dxa"/>
            <w:vAlign w:val="center"/>
          </w:tcPr>
          <w:p w14:paraId="1F4A93CB" w14:textId="77777777" w:rsidR="009623EC" w:rsidRPr="00F1150A" w:rsidRDefault="009623EC" w:rsidP="009623EC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- Luật Khiếu nại ngày 11 tháng 11 năm 2011;</w:t>
            </w:r>
          </w:p>
          <w:p w14:paraId="0B1483FA" w14:textId="77777777" w:rsidR="009623EC" w:rsidRPr="00F1150A" w:rsidRDefault="009623EC" w:rsidP="009623EC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Luật Tố cáo ngày 12 tháng 6 năm 2018; </w:t>
            </w:r>
          </w:p>
          <w:p w14:paraId="2D17CE43" w14:textId="77777777" w:rsidR="009623EC" w:rsidRPr="00F1150A" w:rsidRDefault="009623EC" w:rsidP="009623EC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Nghị định số 31/2019/NĐ-CP ngày 10 tháng 4 năm 2019 của Chính phủ; </w:t>
            </w:r>
          </w:p>
          <w:p w14:paraId="05509BE9" w14:textId="77777777" w:rsidR="009623EC" w:rsidRPr="00F1150A" w:rsidRDefault="009623EC" w:rsidP="002B7BA1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Nghị định số 124/2020/NĐ-CP ngày 19 tháng 10 năm 2020 của Chính phủ; </w:t>
            </w:r>
          </w:p>
          <w:p w14:paraId="2271DDB9" w14:textId="0079FCA2" w:rsidR="002D5075" w:rsidRPr="00F1150A" w:rsidRDefault="009623EC" w:rsidP="002B7BA1">
            <w:pPr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F1150A">
              <w:rPr>
                <w:iCs/>
                <w:spacing w:val="-4"/>
                <w:sz w:val="26"/>
                <w:szCs w:val="26"/>
              </w:rPr>
              <w:t xml:space="preserve">- Thông tư số 05/2021/TT-TTCP </w:t>
            </w:r>
            <w:r w:rsidRPr="00F1150A">
              <w:rPr>
                <w:iCs/>
                <w:spacing w:val="-4"/>
                <w:sz w:val="26"/>
                <w:szCs w:val="26"/>
              </w:rPr>
              <w:lastRenderedPageBreak/>
              <w:t>ngày 01/10/2021 của Thanh tra Chính phủ.</w:t>
            </w:r>
          </w:p>
        </w:tc>
        <w:tc>
          <w:tcPr>
            <w:tcW w:w="1788" w:type="dxa"/>
            <w:vAlign w:val="center"/>
          </w:tcPr>
          <w:p w14:paraId="0553C619" w14:textId="1A6AADC9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lastRenderedPageBreak/>
              <w:t>Ủy ban nhân dân cấp huyện, Thanh tra huyện, các cơ quan chuyên môn thuộc UBND huyện</w:t>
            </w:r>
          </w:p>
        </w:tc>
      </w:tr>
      <w:tr w:rsidR="002D5075" w:rsidRPr="00F1150A" w14:paraId="66B4C997" w14:textId="77777777" w:rsidTr="00F1150A">
        <w:trPr>
          <w:jc w:val="center"/>
        </w:trPr>
        <w:tc>
          <w:tcPr>
            <w:tcW w:w="743" w:type="dxa"/>
            <w:vAlign w:val="center"/>
          </w:tcPr>
          <w:p w14:paraId="1B4B4536" w14:textId="2B5DC1E3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lastRenderedPageBreak/>
              <w:t>II</w:t>
            </w:r>
          </w:p>
        </w:tc>
        <w:tc>
          <w:tcPr>
            <w:tcW w:w="2897" w:type="dxa"/>
            <w:vAlign w:val="center"/>
          </w:tcPr>
          <w:p w14:paraId="31AADF3E" w14:textId="5D610E75" w:rsidR="002D5075" w:rsidRPr="00F1150A" w:rsidRDefault="00401061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Lĩnh vực t</w:t>
            </w:r>
            <w:r w:rsidR="002D5075" w:rsidRPr="00F1150A">
              <w:rPr>
                <w:b/>
                <w:bCs/>
                <w:sz w:val="26"/>
                <w:szCs w:val="26"/>
              </w:rPr>
              <w:t>iếp công dân</w:t>
            </w:r>
          </w:p>
        </w:tc>
        <w:tc>
          <w:tcPr>
            <w:tcW w:w="3359" w:type="dxa"/>
            <w:vAlign w:val="center"/>
          </w:tcPr>
          <w:p w14:paraId="034310F7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97" w:type="dxa"/>
            <w:vAlign w:val="center"/>
          </w:tcPr>
          <w:p w14:paraId="3EEE7320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7471AD88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5CC37096" w14:textId="59A04486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14:paraId="50C312CB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5075" w:rsidRPr="00F1150A" w14:paraId="417999DF" w14:textId="77777777" w:rsidTr="00F1150A">
        <w:trPr>
          <w:jc w:val="center"/>
        </w:trPr>
        <w:tc>
          <w:tcPr>
            <w:tcW w:w="743" w:type="dxa"/>
            <w:vAlign w:val="center"/>
          </w:tcPr>
          <w:p w14:paraId="06CCE069" w14:textId="2BC4F799" w:rsidR="002D5075" w:rsidRPr="00F1150A" w:rsidRDefault="002D5075" w:rsidP="002D5075">
            <w:pPr>
              <w:jc w:val="center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1</w:t>
            </w:r>
          </w:p>
        </w:tc>
        <w:tc>
          <w:tcPr>
            <w:tcW w:w="2897" w:type="dxa"/>
            <w:vAlign w:val="center"/>
          </w:tcPr>
          <w:p w14:paraId="7CC9C9B3" w14:textId="73FBE29D" w:rsidR="002D5075" w:rsidRPr="00F1150A" w:rsidRDefault="002D5075" w:rsidP="002D5075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Thủ tục tiếp công dân tại cấp huyện</w:t>
            </w:r>
            <w:r w:rsidR="00160170" w:rsidRPr="00F1150A">
              <w:rPr>
                <w:sz w:val="26"/>
                <w:szCs w:val="26"/>
              </w:rPr>
              <w:t xml:space="preserve"> (</w:t>
            </w:r>
            <w:r w:rsidR="00160170" w:rsidRPr="00F1150A">
              <w:rPr>
                <w:bCs/>
                <w:sz w:val="26"/>
                <w:szCs w:val="26"/>
              </w:rPr>
              <w:t>2.002174)</w:t>
            </w:r>
          </w:p>
        </w:tc>
        <w:tc>
          <w:tcPr>
            <w:tcW w:w="3359" w:type="dxa"/>
            <w:vAlign w:val="center"/>
          </w:tcPr>
          <w:p w14:paraId="644BC2A6" w14:textId="3B0A7647" w:rsidR="002D5075" w:rsidRPr="00F1150A" w:rsidRDefault="002D5075" w:rsidP="002D5075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Thủ tục tiếp công dân tại cấp huyện 1.010944.000.00.00.H</w:t>
            </w:r>
            <w:r w:rsidR="00DB1949" w:rsidRPr="00F1150A">
              <w:rPr>
                <w:sz w:val="26"/>
                <w:szCs w:val="26"/>
              </w:rPr>
              <w:t>57</w:t>
            </w:r>
          </w:p>
        </w:tc>
        <w:tc>
          <w:tcPr>
            <w:tcW w:w="1897" w:type="dxa"/>
            <w:vAlign w:val="center"/>
          </w:tcPr>
          <w:p w14:paraId="4977466D" w14:textId="7CB2DA61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10 ngày làm việc, kế từ ngày tiếp nhận </w:t>
            </w:r>
          </w:p>
        </w:tc>
        <w:tc>
          <w:tcPr>
            <w:tcW w:w="1765" w:type="dxa"/>
            <w:vAlign w:val="center"/>
          </w:tcPr>
          <w:p w14:paraId="54B3264D" w14:textId="1BD801BE" w:rsidR="002D5075" w:rsidRPr="00F1150A" w:rsidRDefault="00A844E4" w:rsidP="00A844E4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Công dân đến trình bày trực tiếp tại trụ sở tiếp công dân hoặc địa điểm tiếp công dân</w:t>
            </w:r>
          </w:p>
        </w:tc>
        <w:tc>
          <w:tcPr>
            <w:tcW w:w="2231" w:type="dxa"/>
            <w:vAlign w:val="center"/>
          </w:tcPr>
          <w:p w14:paraId="0B960550" w14:textId="77777777" w:rsidR="009623EC" w:rsidRPr="00F1150A" w:rsidRDefault="009623EC" w:rsidP="002B7BA1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Luật Tiếp công dân năm 2013; </w:t>
            </w:r>
          </w:p>
          <w:p w14:paraId="15567374" w14:textId="77777777" w:rsidR="009623EC" w:rsidRPr="00F1150A" w:rsidRDefault="009623EC" w:rsidP="002B7BA1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Nghị định số 64/2014/NĐ-CP ngày 26/6/2014 của Chính phủ; </w:t>
            </w:r>
          </w:p>
          <w:p w14:paraId="7FD5A18E" w14:textId="419F7CFD" w:rsidR="002D5075" w:rsidRPr="00F1150A" w:rsidRDefault="009623EC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i/>
                <w:iCs/>
                <w:sz w:val="26"/>
                <w:szCs w:val="26"/>
              </w:rPr>
              <w:t xml:space="preserve">- </w:t>
            </w:r>
            <w:r w:rsidRPr="00F1150A">
              <w:rPr>
                <w:iCs/>
                <w:spacing w:val="-4"/>
                <w:sz w:val="26"/>
                <w:szCs w:val="26"/>
              </w:rPr>
              <w:t>Thông tư số 04/2021/TT-TTCP ngày 01/10/2021 của Thanh tra Chính phủ.</w:t>
            </w:r>
          </w:p>
        </w:tc>
        <w:tc>
          <w:tcPr>
            <w:tcW w:w="1788" w:type="dxa"/>
            <w:vAlign w:val="center"/>
          </w:tcPr>
          <w:p w14:paraId="41A3BC3F" w14:textId="4BEAAB28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Ủy ban nhân dân cấp huyện, Thanh tra huyện, các cơ quan chuyên môn thuộc UBND huyện</w:t>
            </w:r>
          </w:p>
        </w:tc>
      </w:tr>
      <w:tr w:rsidR="002D5075" w:rsidRPr="00F1150A" w14:paraId="39ADE137" w14:textId="77777777" w:rsidTr="00F1150A">
        <w:trPr>
          <w:jc w:val="center"/>
        </w:trPr>
        <w:tc>
          <w:tcPr>
            <w:tcW w:w="743" w:type="dxa"/>
            <w:vAlign w:val="center"/>
          </w:tcPr>
          <w:p w14:paraId="3CA026CE" w14:textId="02019B99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2897" w:type="dxa"/>
            <w:vAlign w:val="center"/>
          </w:tcPr>
          <w:p w14:paraId="66FD75D0" w14:textId="1F025F8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CẤP XÃ</w:t>
            </w:r>
          </w:p>
        </w:tc>
        <w:tc>
          <w:tcPr>
            <w:tcW w:w="3359" w:type="dxa"/>
            <w:vAlign w:val="center"/>
          </w:tcPr>
          <w:p w14:paraId="249DA99F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97" w:type="dxa"/>
            <w:vAlign w:val="center"/>
          </w:tcPr>
          <w:p w14:paraId="4F80F24E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313F956A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20DC875C" w14:textId="77D13DDF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14:paraId="474192E9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5075" w:rsidRPr="00F1150A" w14:paraId="37FEFB97" w14:textId="77777777" w:rsidTr="00F1150A">
        <w:trPr>
          <w:jc w:val="center"/>
        </w:trPr>
        <w:tc>
          <w:tcPr>
            <w:tcW w:w="743" w:type="dxa"/>
            <w:vAlign w:val="center"/>
          </w:tcPr>
          <w:p w14:paraId="0D7FAA3F" w14:textId="12BAF2C2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897" w:type="dxa"/>
            <w:vAlign w:val="center"/>
          </w:tcPr>
          <w:p w14:paraId="75B2FA11" w14:textId="09DD0510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Lĩnh vực xử lý đơn</w:t>
            </w:r>
          </w:p>
        </w:tc>
        <w:tc>
          <w:tcPr>
            <w:tcW w:w="3359" w:type="dxa"/>
            <w:vAlign w:val="center"/>
          </w:tcPr>
          <w:p w14:paraId="6E304D71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97" w:type="dxa"/>
            <w:vAlign w:val="center"/>
          </w:tcPr>
          <w:p w14:paraId="4E17DE36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7D9F052D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04B4A8B2" w14:textId="6F53D1A8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14:paraId="21B8576F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5075" w:rsidRPr="00F1150A" w14:paraId="60CF8F01" w14:textId="77777777" w:rsidTr="00F1150A">
        <w:trPr>
          <w:jc w:val="center"/>
        </w:trPr>
        <w:tc>
          <w:tcPr>
            <w:tcW w:w="743" w:type="dxa"/>
            <w:vAlign w:val="center"/>
          </w:tcPr>
          <w:p w14:paraId="127A7627" w14:textId="3E5B65F3" w:rsidR="002D5075" w:rsidRPr="00F1150A" w:rsidRDefault="002D5075" w:rsidP="002D5075">
            <w:pPr>
              <w:jc w:val="center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1</w:t>
            </w:r>
          </w:p>
        </w:tc>
        <w:tc>
          <w:tcPr>
            <w:tcW w:w="2897" w:type="dxa"/>
            <w:vAlign w:val="center"/>
          </w:tcPr>
          <w:p w14:paraId="7F13703C" w14:textId="7EC8D506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993FB8">
              <w:rPr>
                <w:sz w:val="26"/>
                <w:szCs w:val="26"/>
              </w:rPr>
              <w:t>Thủ tục xử lý đơn tại cấp xã</w:t>
            </w:r>
            <w:r w:rsidR="00882F24" w:rsidRPr="00993FB8">
              <w:rPr>
                <w:sz w:val="26"/>
                <w:szCs w:val="26"/>
              </w:rPr>
              <w:t xml:space="preserve"> (</w:t>
            </w:r>
            <w:hyperlink r:id="rId8" w:history="1">
              <w:r w:rsidR="00882F24" w:rsidRPr="00993FB8">
                <w:rPr>
                  <w:rStyle w:val="Hyperlink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2.001801</w:t>
              </w:r>
            </w:hyperlink>
            <w:bookmarkStart w:id="0" w:name="_GoBack"/>
            <w:bookmarkEnd w:id="0"/>
            <w:r w:rsidR="00882F24" w:rsidRPr="00993FB8">
              <w:rPr>
                <w:sz w:val="26"/>
                <w:szCs w:val="26"/>
              </w:rPr>
              <w:t>)</w:t>
            </w:r>
          </w:p>
        </w:tc>
        <w:tc>
          <w:tcPr>
            <w:tcW w:w="3359" w:type="dxa"/>
            <w:vAlign w:val="center"/>
          </w:tcPr>
          <w:p w14:paraId="27C5A53C" w14:textId="2E8B4640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Thủ tục xử lý đơn tại cấp xã 2.002501.000.00.00.H</w:t>
            </w:r>
            <w:r w:rsidR="00882F24" w:rsidRPr="00F1150A">
              <w:rPr>
                <w:sz w:val="26"/>
                <w:szCs w:val="26"/>
              </w:rPr>
              <w:t>57</w:t>
            </w:r>
            <w:r w:rsidRPr="00F115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14:paraId="6460B6F3" w14:textId="15189974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10 ngày, kể từ ngày nhận được đơn </w:t>
            </w:r>
          </w:p>
        </w:tc>
        <w:tc>
          <w:tcPr>
            <w:tcW w:w="1765" w:type="dxa"/>
            <w:vAlign w:val="center"/>
          </w:tcPr>
          <w:p w14:paraId="219DF686" w14:textId="13495BAF" w:rsidR="002D5075" w:rsidRPr="00F1150A" w:rsidRDefault="009623EC" w:rsidP="009E6458">
            <w:pPr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Gửi đơn trực tiếp đến cơ quan hoặc gửi đơn qua dịch vụ bưu chính</w:t>
            </w:r>
          </w:p>
        </w:tc>
        <w:tc>
          <w:tcPr>
            <w:tcW w:w="2231" w:type="dxa"/>
            <w:vAlign w:val="center"/>
          </w:tcPr>
          <w:p w14:paraId="69B03C94" w14:textId="77777777" w:rsidR="009623EC" w:rsidRPr="00F1150A" w:rsidRDefault="009623EC" w:rsidP="009623EC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- Luật Khiếu nại ngày 11 tháng 11 năm 2011;</w:t>
            </w:r>
          </w:p>
          <w:p w14:paraId="2910FAA5" w14:textId="77777777" w:rsidR="009623EC" w:rsidRPr="00F1150A" w:rsidRDefault="009623EC" w:rsidP="002B7BA1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Luật Tố cáo ngày 12 tháng 6 năm 2018; </w:t>
            </w:r>
          </w:p>
          <w:p w14:paraId="0B6C4F9B" w14:textId="77777777" w:rsidR="009623EC" w:rsidRPr="00F1150A" w:rsidRDefault="009623EC" w:rsidP="002B7BA1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Nghị định số 31/2019/NĐ-CP ngày 10 tháng 4 năm 2019 của Chính phủ; </w:t>
            </w:r>
          </w:p>
          <w:p w14:paraId="5536A19C" w14:textId="77777777" w:rsidR="009623EC" w:rsidRPr="00F1150A" w:rsidRDefault="009623EC" w:rsidP="002B7BA1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Nghị định số 124/2020/NĐ-CP ngày 19 tháng 10 năm 2020 của </w:t>
            </w:r>
            <w:r w:rsidRPr="00F1150A">
              <w:rPr>
                <w:sz w:val="26"/>
                <w:szCs w:val="26"/>
              </w:rPr>
              <w:lastRenderedPageBreak/>
              <w:t xml:space="preserve">Chính phủ; </w:t>
            </w:r>
          </w:p>
          <w:p w14:paraId="6D578568" w14:textId="2BE2AF45" w:rsidR="002D5075" w:rsidRPr="00F1150A" w:rsidRDefault="009623EC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i/>
                <w:iCs/>
                <w:sz w:val="26"/>
                <w:szCs w:val="26"/>
              </w:rPr>
              <w:t xml:space="preserve">- </w:t>
            </w:r>
            <w:r w:rsidRPr="00F1150A">
              <w:rPr>
                <w:iCs/>
                <w:spacing w:val="-4"/>
                <w:sz w:val="26"/>
                <w:szCs w:val="26"/>
              </w:rPr>
              <w:t>Thông tư số 05/2021/TT-TTCP ngày 01/10/2021 của Thanh tra Chính phủ.</w:t>
            </w:r>
          </w:p>
        </w:tc>
        <w:tc>
          <w:tcPr>
            <w:tcW w:w="1788" w:type="dxa"/>
            <w:vAlign w:val="center"/>
          </w:tcPr>
          <w:p w14:paraId="51A5CDA8" w14:textId="03B8F4A9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lastRenderedPageBreak/>
              <w:t xml:space="preserve">Ủy ban nhân dân cấp xã </w:t>
            </w:r>
          </w:p>
        </w:tc>
      </w:tr>
      <w:tr w:rsidR="002D5075" w:rsidRPr="00F1150A" w14:paraId="1A49B4B1" w14:textId="77777777" w:rsidTr="00F1150A">
        <w:trPr>
          <w:jc w:val="center"/>
        </w:trPr>
        <w:tc>
          <w:tcPr>
            <w:tcW w:w="743" w:type="dxa"/>
            <w:vAlign w:val="center"/>
          </w:tcPr>
          <w:p w14:paraId="479B33AA" w14:textId="75EE16B7" w:rsidR="002D5075" w:rsidRPr="00F1150A" w:rsidRDefault="002D5075" w:rsidP="002D507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lastRenderedPageBreak/>
              <w:t>II</w:t>
            </w:r>
          </w:p>
        </w:tc>
        <w:tc>
          <w:tcPr>
            <w:tcW w:w="2897" w:type="dxa"/>
            <w:vAlign w:val="center"/>
          </w:tcPr>
          <w:p w14:paraId="2819D79A" w14:textId="28060785" w:rsidR="002D5075" w:rsidRPr="00F1150A" w:rsidRDefault="00401061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b/>
                <w:bCs/>
                <w:sz w:val="26"/>
                <w:szCs w:val="26"/>
              </w:rPr>
              <w:t>Lĩnh vực t</w:t>
            </w:r>
            <w:r w:rsidR="002D5075" w:rsidRPr="00F1150A">
              <w:rPr>
                <w:b/>
                <w:bCs/>
                <w:sz w:val="26"/>
                <w:szCs w:val="26"/>
              </w:rPr>
              <w:t>iếp công dân</w:t>
            </w:r>
          </w:p>
        </w:tc>
        <w:tc>
          <w:tcPr>
            <w:tcW w:w="3359" w:type="dxa"/>
            <w:vAlign w:val="center"/>
          </w:tcPr>
          <w:p w14:paraId="0270F66E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97" w:type="dxa"/>
            <w:vAlign w:val="center"/>
          </w:tcPr>
          <w:p w14:paraId="42AA9860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6699814A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25A4807B" w14:textId="44074972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8" w:type="dxa"/>
            <w:vAlign w:val="center"/>
          </w:tcPr>
          <w:p w14:paraId="32E1C4DA" w14:textId="77777777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5075" w:rsidRPr="00F1150A" w14:paraId="497C92FE" w14:textId="77777777" w:rsidTr="00F1150A">
        <w:trPr>
          <w:trHeight w:val="3188"/>
          <w:jc w:val="center"/>
        </w:trPr>
        <w:tc>
          <w:tcPr>
            <w:tcW w:w="743" w:type="dxa"/>
            <w:vAlign w:val="center"/>
          </w:tcPr>
          <w:p w14:paraId="3608F4AE" w14:textId="5362EC0D" w:rsidR="002D5075" w:rsidRPr="00F1150A" w:rsidRDefault="002D5075" w:rsidP="002D5075">
            <w:pPr>
              <w:jc w:val="center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1</w:t>
            </w:r>
          </w:p>
        </w:tc>
        <w:tc>
          <w:tcPr>
            <w:tcW w:w="2897" w:type="dxa"/>
            <w:vAlign w:val="center"/>
          </w:tcPr>
          <w:p w14:paraId="109F8AAF" w14:textId="05D8F556" w:rsidR="002D5075" w:rsidRPr="00F1150A" w:rsidRDefault="002D5075" w:rsidP="009E6458">
            <w:pPr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Thủ tục tiếp công dân tại cấp xã</w:t>
            </w:r>
            <w:r w:rsidR="00160170" w:rsidRPr="00F1150A">
              <w:rPr>
                <w:sz w:val="26"/>
                <w:szCs w:val="26"/>
              </w:rPr>
              <w:t xml:space="preserve"> (</w:t>
            </w:r>
            <w:r w:rsidR="00160170" w:rsidRPr="00F1150A">
              <w:rPr>
                <w:bCs/>
                <w:sz w:val="26"/>
                <w:szCs w:val="26"/>
              </w:rPr>
              <w:t>2.001909)</w:t>
            </w:r>
          </w:p>
        </w:tc>
        <w:tc>
          <w:tcPr>
            <w:tcW w:w="3359" w:type="dxa"/>
            <w:vAlign w:val="center"/>
          </w:tcPr>
          <w:p w14:paraId="53981C63" w14:textId="44A9257D" w:rsidR="002D5075" w:rsidRPr="00F1150A" w:rsidRDefault="002D5075" w:rsidP="009E6458">
            <w:pPr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Thủ tục tiếp công dân tại cấp xã 1.010945.000.00.00.H</w:t>
            </w:r>
            <w:r w:rsidR="00882F24" w:rsidRPr="00F1150A">
              <w:rPr>
                <w:sz w:val="26"/>
                <w:szCs w:val="26"/>
              </w:rPr>
              <w:t>57</w:t>
            </w:r>
            <w:r w:rsidRPr="00F115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14:paraId="0D85E061" w14:textId="7470AEDA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10 ngày làm việc, kế từ ngày tiếp nhận </w:t>
            </w:r>
          </w:p>
        </w:tc>
        <w:tc>
          <w:tcPr>
            <w:tcW w:w="1765" w:type="dxa"/>
            <w:vAlign w:val="center"/>
          </w:tcPr>
          <w:p w14:paraId="247FC9E3" w14:textId="458C494E" w:rsidR="002D5075" w:rsidRPr="00F1150A" w:rsidRDefault="00A844E4" w:rsidP="00A844E4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>Công dân đến trình bày trực tiếp tại trụ sở tiếp công dân hoặc địa điểm tiếp công dân</w:t>
            </w:r>
          </w:p>
        </w:tc>
        <w:tc>
          <w:tcPr>
            <w:tcW w:w="2231" w:type="dxa"/>
            <w:vAlign w:val="center"/>
          </w:tcPr>
          <w:p w14:paraId="4CFA0044" w14:textId="77777777" w:rsidR="00A844E4" w:rsidRPr="00F1150A" w:rsidRDefault="00A844E4" w:rsidP="002B7BA1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Luật Tiếp công dân năm 2013; </w:t>
            </w:r>
          </w:p>
          <w:p w14:paraId="2DE90EE4" w14:textId="08669CF9" w:rsidR="00A844E4" w:rsidRPr="00F1150A" w:rsidRDefault="00A844E4" w:rsidP="002B7BA1">
            <w:pPr>
              <w:jc w:val="both"/>
              <w:rPr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- Nghị định số 64/2014/NĐ-CP ngày 26/6/2014 </w:t>
            </w:r>
            <w:r w:rsidR="009623EC" w:rsidRPr="00F1150A">
              <w:rPr>
                <w:sz w:val="26"/>
                <w:szCs w:val="26"/>
              </w:rPr>
              <w:t>của Chính phủ</w:t>
            </w:r>
            <w:r w:rsidRPr="00F1150A">
              <w:rPr>
                <w:sz w:val="26"/>
                <w:szCs w:val="26"/>
              </w:rPr>
              <w:t xml:space="preserve">; </w:t>
            </w:r>
          </w:p>
          <w:p w14:paraId="63FD979E" w14:textId="02DD8B54" w:rsidR="002D5075" w:rsidRPr="00F1150A" w:rsidRDefault="00A844E4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i/>
                <w:iCs/>
                <w:sz w:val="26"/>
                <w:szCs w:val="26"/>
              </w:rPr>
              <w:t xml:space="preserve">- </w:t>
            </w:r>
            <w:r w:rsidRPr="00F1150A">
              <w:rPr>
                <w:spacing w:val="-4"/>
                <w:sz w:val="26"/>
                <w:szCs w:val="26"/>
              </w:rPr>
              <w:t>Thông tư số 04/2021/TT-TTCP</w:t>
            </w:r>
            <w:r w:rsidR="009623EC" w:rsidRPr="00F1150A">
              <w:rPr>
                <w:spacing w:val="-4"/>
                <w:sz w:val="26"/>
                <w:szCs w:val="26"/>
              </w:rPr>
              <w:t xml:space="preserve">  ngày 01/10/2021 </w:t>
            </w:r>
            <w:r w:rsidRPr="00F1150A">
              <w:rPr>
                <w:spacing w:val="-4"/>
                <w:sz w:val="26"/>
                <w:szCs w:val="26"/>
              </w:rPr>
              <w:t>của Thanh tra Chính phủ.</w:t>
            </w:r>
          </w:p>
        </w:tc>
        <w:tc>
          <w:tcPr>
            <w:tcW w:w="1788" w:type="dxa"/>
            <w:vAlign w:val="center"/>
          </w:tcPr>
          <w:p w14:paraId="12AE72F3" w14:textId="4B044C87" w:rsidR="002D5075" w:rsidRPr="00F1150A" w:rsidRDefault="002D5075" w:rsidP="002B7BA1">
            <w:pPr>
              <w:jc w:val="both"/>
              <w:rPr>
                <w:b/>
                <w:bCs/>
                <w:sz w:val="26"/>
                <w:szCs w:val="26"/>
              </w:rPr>
            </w:pPr>
            <w:r w:rsidRPr="00F1150A">
              <w:rPr>
                <w:sz w:val="26"/>
                <w:szCs w:val="26"/>
              </w:rPr>
              <w:t xml:space="preserve">Ủy ban nhân dân cấp xã </w:t>
            </w:r>
          </w:p>
        </w:tc>
      </w:tr>
    </w:tbl>
    <w:p w14:paraId="18D9E4F8" w14:textId="77777777" w:rsidR="00B95DC6" w:rsidRDefault="00B95DC6" w:rsidP="00B95DC6">
      <w:pPr>
        <w:rPr>
          <w:b/>
          <w:bCs/>
        </w:rPr>
      </w:pPr>
    </w:p>
    <w:p w14:paraId="73BB7E28" w14:textId="45E0868A" w:rsidR="00B95DC6" w:rsidRPr="00B95DC6" w:rsidRDefault="00B95DC6" w:rsidP="00B95DC6">
      <w:pPr>
        <w:jc w:val="both"/>
        <w:rPr>
          <w:color w:val="000000" w:themeColor="text1"/>
          <w:sz w:val="26"/>
          <w:szCs w:val="26"/>
          <w:lang w:val="vi-VN" w:eastAsia="en-GB"/>
        </w:rPr>
      </w:pPr>
      <w:r w:rsidRPr="00B95DC6">
        <w:rPr>
          <w:b/>
          <w:bCs/>
          <w:i/>
          <w:iCs/>
          <w:color w:val="000000" w:themeColor="text1"/>
          <w:sz w:val="26"/>
          <w:szCs w:val="26"/>
          <w:lang w:val="vi-VN" w:eastAsia="en-GB"/>
        </w:rPr>
        <w:t>* Ghi chú:</w:t>
      </w:r>
      <w:r w:rsidRPr="00B95DC6">
        <w:rPr>
          <w:color w:val="000000" w:themeColor="text1"/>
          <w:sz w:val="26"/>
          <w:szCs w:val="26"/>
          <w:lang w:val="vi-VN" w:eastAsia="en-GB"/>
        </w:rPr>
        <w:t xml:space="preserve"> </w:t>
      </w:r>
      <w:r w:rsidRPr="00B95DC6">
        <w:rPr>
          <w:i/>
          <w:iCs/>
          <w:color w:val="000000" w:themeColor="text1"/>
          <w:sz w:val="26"/>
          <w:szCs w:val="26"/>
          <w:shd w:val="clear" w:color="auto" w:fill="FFFFFF"/>
          <w:lang w:val="vi-VN" w:eastAsia="en-GB"/>
        </w:rPr>
        <w:t xml:space="preserve">Nội dung TTHC cụ thể được công bố tại Quyết định này được thực hiện theo nội dung đã được </w:t>
      </w:r>
      <w:r>
        <w:rPr>
          <w:i/>
          <w:iCs/>
          <w:color w:val="000000" w:themeColor="text1"/>
          <w:sz w:val="26"/>
          <w:szCs w:val="26"/>
          <w:shd w:val="clear" w:color="auto" w:fill="FFFFFF"/>
          <w:lang w:eastAsia="en-GB"/>
        </w:rPr>
        <w:t>Thanh tra Chính</w:t>
      </w:r>
      <w:r w:rsidRPr="00B95DC6">
        <w:rPr>
          <w:i/>
          <w:iCs/>
          <w:color w:val="000000" w:themeColor="text1"/>
          <w:sz w:val="26"/>
          <w:szCs w:val="26"/>
          <w:shd w:val="clear" w:color="auto" w:fill="FFFFFF"/>
          <w:lang w:val="vi-VN" w:eastAsia="en-GB"/>
        </w:rPr>
        <w:t xml:space="preserve"> công khai trên Cổng dịch vụ công quốc gia (</w:t>
      </w:r>
      <w:hyperlink r:id="rId9" w:history="1">
        <w:r w:rsidRPr="00B95DC6">
          <w:rPr>
            <w:i/>
            <w:iCs/>
            <w:color w:val="000000" w:themeColor="text1"/>
            <w:sz w:val="26"/>
            <w:szCs w:val="26"/>
            <w:u w:val="single"/>
            <w:shd w:val="clear" w:color="auto" w:fill="FFFFFF"/>
            <w:lang w:val="vi-VN" w:eastAsia="en-GB"/>
          </w:rPr>
          <w:t>https://dichvucong.gov.vn</w:t>
        </w:r>
      </w:hyperlink>
      <w:r w:rsidRPr="00B95DC6">
        <w:rPr>
          <w:i/>
          <w:iCs/>
          <w:color w:val="000000" w:themeColor="text1"/>
          <w:sz w:val="26"/>
          <w:szCs w:val="26"/>
          <w:shd w:val="clear" w:color="auto" w:fill="FFFFFF"/>
          <w:lang w:val="vi-VN" w:eastAsia="en-GB"/>
        </w:rPr>
        <w:t xml:space="preserve">) và trên Cổng dịch vụ công tỉnh Thừa Thiên Huế </w:t>
      </w:r>
      <w:r w:rsidRPr="00B95DC6">
        <w:rPr>
          <w:i/>
          <w:iCs/>
          <w:color w:val="000000" w:themeColor="text1"/>
          <w:sz w:val="26"/>
          <w:szCs w:val="26"/>
          <w:u w:val="single"/>
          <w:shd w:val="clear" w:color="auto" w:fill="FFFFFF"/>
          <w:lang w:val="vi-VN" w:eastAsia="en-GB"/>
        </w:rPr>
        <w:t>(</w:t>
      </w:r>
      <w:r w:rsidRPr="00B95DC6">
        <w:rPr>
          <w:bCs/>
          <w:i/>
          <w:iCs/>
          <w:color w:val="000000" w:themeColor="text1"/>
          <w:sz w:val="26"/>
          <w:szCs w:val="26"/>
          <w:u w:val="single"/>
          <w:lang w:val="vi-VN" w:eastAsia="en-GB"/>
        </w:rPr>
        <w:t>https://dichvucong.thuathienhue.gov.vn)</w:t>
      </w:r>
      <w:r w:rsidRPr="00B95DC6">
        <w:rPr>
          <w:bCs/>
          <w:i/>
          <w:iCs/>
          <w:color w:val="000000" w:themeColor="text1"/>
          <w:sz w:val="26"/>
          <w:szCs w:val="26"/>
          <w:lang w:val="vi-VN" w:eastAsia="en-GB"/>
        </w:rPr>
        <w:t xml:space="preserve">. </w:t>
      </w:r>
      <w:r w:rsidRPr="00B95DC6">
        <w:rPr>
          <w:i/>
          <w:iCs/>
          <w:color w:val="000000" w:themeColor="text1"/>
          <w:sz w:val="26"/>
          <w:szCs w:val="26"/>
          <w:shd w:val="clear" w:color="auto" w:fill="FFFFFF"/>
          <w:lang w:val="vi-VN" w:eastAsia="en-GB"/>
        </w:rPr>
        <w:t xml:space="preserve"> </w:t>
      </w:r>
    </w:p>
    <w:p w14:paraId="7A31CCD7" w14:textId="77777777" w:rsidR="00B95DC6" w:rsidRPr="00D638DD" w:rsidRDefault="00B95DC6" w:rsidP="00B95DC6">
      <w:pPr>
        <w:rPr>
          <w:b/>
          <w:bCs/>
        </w:rPr>
        <w:sectPr w:rsidR="00B95DC6" w:rsidRPr="00D638DD" w:rsidSect="001D7839">
          <w:headerReference w:type="default" r:id="rId10"/>
          <w:headerReference w:type="first" r:id="rId11"/>
          <w:pgSz w:w="16839" w:h="11907" w:orient="landscape" w:code="9"/>
          <w:pgMar w:top="1134" w:right="1134" w:bottom="1134" w:left="1701" w:header="176" w:footer="794" w:gutter="0"/>
          <w:cols w:space="720"/>
          <w:titlePg/>
          <w:docGrid w:linePitch="381"/>
        </w:sectPr>
      </w:pPr>
    </w:p>
    <w:p w14:paraId="06408DCB" w14:textId="77777777" w:rsidR="004F7683" w:rsidRDefault="00A96DA8" w:rsidP="00B95DC6">
      <w:pPr>
        <w:ind w:firstLine="709"/>
        <w:jc w:val="center"/>
      </w:pPr>
    </w:p>
    <w:sectPr w:rsidR="004F7683" w:rsidSect="002F5B2C">
      <w:pgSz w:w="11907" w:h="16839" w:code="9"/>
      <w:pgMar w:top="1134" w:right="1134" w:bottom="1134" w:left="1699" w:header="176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DF7BD" w14:textId="77777777" w:rsidR="00A96DA8" w:rsidRDefault="00A96DA8" w:rsidP="00F1150A">
      <w:r>
        <w:separator/>
      </w:r>
    </w:p>
  </w:endnote>
  <w:endnote w:type="continuationSeparator" w:id="0">
    <w:p w14:paraId="0EC154D1" w14:textId="77777777" w:rsidR="00A96DA8" w:rsidRDefault="00A96DA8" w:rsidP="00F1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E21B1" w14:textId="77777777" w:rsidR="00A96DA8" w:rsidRDefault="00A96DA8" w:rsidP="00F1150A">
      <w:r>
        <w:separator/>
      </w:r>
    </w:p>
  </w:footnote>
  <w:footnote w:type="continuationSeparator" w:id="0">
    <w:p w14:paraId="2E97F654" w14:textId="77777777" w:rsidR="00A96DA8" w:rsidRDefault="00A96DA8" w:rsidP="00F1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140104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74A428F4" w14:textId="722B73FB" w:rsidR="00D82CA0" w:rsidRPr="00D82CA0" w:rsidRDefault="00D82CA0">
        <w:pPr>
          <w:pStyle w:val="Header"/>
          <w:jc w:val="center"/>
          <w:rPr>
            <w:sz w:val="26"/>
            <w:szCs w:val="26"/>
          </w:rPr>
        </w:pPr>
        <w:r w:rsidRPr="00D82CA0">
          <w:rPr>
            <w:sz w:val="26"/>
            <w:szCs w:val="26"/>
          </w:rPr>
          <w:fldChar w:fldCharType="begin"/>
        </w:r>
        <w:r w:rsidRPr="00D82CA0">
          <w:rPr>
            <w:sz w:val="26"/>
            <w:szCs w:val="26"/>
          </w:rPr>
          <w:instrText xml:space="preserve"> PAGE   \* MERGEFORMAT </w:instrText>
        </w:r>
        <w:r w:rsidRPr="00D82CA0">
          <w:rPr>
            <w:sz w:val="26"/>
            <w:szCs w:val="26"/>
          </w:rPr>
          <w:fldChar w:fldCharType="separate"/>
        </w:r>
        <w:r w:rsidR="00993FB8">
          <w:rPr>
            <w:noProof/>
            <w:sz w:val="26"/>
            <w:szCs w:val="26"/>
          </w:rPr>
          <w:t>4</w:t>
        </w:r>
        <w:r w:rsidRPr="00D82CA0">
          <w:rPr>
            <w:noProof/>
            <w:sz w:val="26"/>
            <w:szCs w:val="26"/>
          </w:rPr>
          <w:fldChar w:fldCharType="end"/>
        </w:r>
      </w:p>
    </w:sdtContent>
  </w:sdt>
  <w:p w14:paraId="76350150" w14:textId="77777777" w:rsidR="00F1150A" w:rsidRDefault="00F11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73E4C" w14:textId="53D6DD5E" w:rsidR="00D82CA0" w:rsidRPr="00D82CA0" w:rsidRDefault="00D82CA0">
    <w:pPr>
      <w:pStyle w:val="Header"/>
      <w:jc w:val="center"/>
      <w:rPr>
        <w:sz w:val="26"/>
        <w:szCs w:val="26"/>
      </w:rPr>
    </w:pPr>
  </w:p>
  <w:p w14:paraId="0E682ABF" w14:textId="77777777" w:rsidR="00F1150A" w:rsidRDefault="00F11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58"/>
    <w:rsid w:val="000713AC"/>
    <w:rsid w:val="0007572B"/>
    <w:rsid w:val="000D554C"/>
    <w:rsid w:val="00141389"/>
    <w:rsid w:val="00160170"/>
    <w:rsid w:val="001B501A"/>
    <w:rsid w:val="001B7B06"/>
    <w:rsid w:val="001D7839"/>
    <w:rsid w:val="00236BCB"/>
    <w:rsid w:val="00236DFF"/>
    <w:rsid w:val="00274896"/>
    <w:rsid w:val="002B7BA1"/>
    <w:rsid w:val="002D5075"/>
    <w:rsid w:val="002E5E79"/>
    <w:rsid w:val="002F04AB"/>
    <w:rsid w:val="002F5B2C"/>
    <w:rsid w:val="00333551"/>
    <w:rsid w:val="003E244D"/>
    <w:rsid w:val="00401061"/>
    <w:rsid w:val="00442346"/>
    <w:rsid w:val="00456B9C"/>
    <w:rsid w:val="00470AA9"/>
    <w:rsid w:val="004801BA"/>
    <w:rsid w:val="00562A2D"/>
    <w:rsid w:val="005E4904"/>
    <w:rsid w:val="00702BFC"/>
    <w:rsid w:val="00716F53"/>
    <w:rsid w:val="00721EA2"/>
    <w:rsid w:val="00733EA6"/>
    <w:rsid w:val="007D210B"/>
    <w:rsid w:val="007E6BA3"/>
    <w:rsid w:val="008360C8"/>
    <w:rsid w:val="008601F3"/>
    <w:rsid w:val="00882F24"/>
    <w:rsid w:val="00907981"/>
    <w:rsid w:val="009152C0"/>
    <w:rsid w:val="00926EE5"/>
    <w:rsid w:val="00935BDC"/>
    <w:rsid w:val="009623EC"/>
    <w:rsid w:val="00993FB8"/>
    <w:rsid w:val="009E6458"/>
    <w:rsid w:val="00A748FA"/>
    <w:rsid w:val="00A844E4"/>
    <w:rsid w:val="00A96DA8"/>
    <w:rsid w:val="00AC4DF2"/>
    <w:rsid w:val="00B95DC6"/>
    <w:rsid w:val="00BC68C4"/>
    <w:rsid w:val="00C07DC6"/>
    <w:rsid w:val="00CE4C43"/>
    <w:rsid w:val="00D638DD"/>
    <w:rsid w:val="00D7679F"/>
    <w:rsid w:val="00D82CA0"/>
    <w:rsid w:val="00DA494E"/>
    <w:rsid w:val="00DB1949"/>
    <w:rsid w:val="00DF160F"/>
    <w:rsid w:val="00E32360"/>
    <w:rsid w:val="00E916CE"/>
    <w:rsid w:val="00E943B9"/>
    <w:rsid w:val="00F1150A"/>
    <w:rsid w:val="00F2520A"/>
    <w:rsid w:val="00FA505D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6E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58"/>
    <w:pPr>
      <w:spacing w:before="0" w:after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nhideWhenUsed/>
    <w:qFormat/>
    <w:rsid w:val="009E6458"/>
    <w:pPr>
      <w:spacing w:after="120"/>
    </w:pPr>
    <w:rPr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9E6458"/>
    <w:rPr>
      <w:rFonts w:eastAsia="Times New Roman" w:cs="Times New Roman"/>
      <w:szCs w:val="24"/>
    </w:rPr>
  </w:style>
  <w:style w:type="paragraph" w:customStyle="1" w:styleId="Default">
    <w:name w:val="Default"/>
    <w:rsid w:val="009E6458"/>
    <w:pPr>
      <w:autoSpaceDE w:val="0"/>
      <w:autoSpaceDN w:val="0"/>
      <w:adjustRightInd w:val="0"/>
      <w:spacing w:before="0" w:after="0"/>
      <w:jc w:val="left"/>
    </w:pPr>
    <w:rPr>
      <w:rFonts w:eastAsia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1EA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2F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50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50A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58"/>
    <w:pPr>
      <w:spacing w:before="0" w:after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nhideWhenUsed/>
    <w:qFormat/>
    <w:rsid w:val="009E6458"/>
    <w:pPr>
      <w:spacing w:after="120"/>
    </w:pPr>
    <w:rPr>
      <w:sz w:val="28"/>
    </w:rPr>
  </w:style>
  <w:style w:type="character" w:customStyle="1" w:styleId="BodyTextChar">
    <w:name w:val="Body Text Char"/>
    <w:aliases w:val="bt Char"/>
    <w:basedOn w:val="DefaultParagraphFont"/>
    <w:link w:val="BodyText"/>
    <w:rsid w:val="009E6458"/>
    <w:rPr>
      <w:rFonts w:eastAsia="Times New Roman" w:cs="Times New Roman"/>
      <w:szCs w:val="24"/>
    </w:rPr>
  </w:style>
  <w:style w:type="paragraph" w:customStyle="1" w:styleId="Default">
    <w:name w:val="Default"/>
    <w:rsid w:val="009E6458"/>
    <w:pPr>
      <w:autoSpaceDE w:val="0"/>
      <w:autoSpaceDN w:val="0"/>
      <w:adjustRightInd w:val="0"/>
      <w:spacing w:before="0" w:after="0"/>
      <w:jc w:val="left"/>
    </w:pPr>
    <w:rPr>
      <w:rFonts w:eastAsia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1EA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4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2F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50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50A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l.dichvucong.gov.vn/web/mtv/thu_tuc_hanh_chinh/chi_tiet_tthc/index?id=6235&amp;qdcbid=58094&amp;r_url=tra_cuu_tthc_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dl.dichvucong.gov.vn/web/mtv/thu_tuc_hanh_chinh/chi_tiet_tthc/index?id=6721&amp;qdcbid=58094&amp;r_url=tra_cuu_tthc_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chvucong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  <vt:variant>
        <vt:lpstr>Đầu đề</vt:lpstr>
      </vt:variant>
      <vt:variant>
        <vt:i4>2</vt:i4>
      </vt:variant>
    </vt:vector>
  </HeadingPairs>
  <TitlesOfParts>
    <vt:vector size="4" baseType="lpstr">
      <vt:lpstr/>
      <vt:lpstr/>
      <vt:lpstr/>
      <vt:lpstr>/</vt:lpstr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Home0181</dc:creator>
  <cp:lastModifiedBy>Tran Quang Vinh</cp:lastModifiedBy>
  <cp:revision>7</cp:revision>
  <cp:lastPrinted>2022-06-14T07:28:00Z</cp:lastPrinted>
  <dcterms:created xsi:type="dcterms:W3CDTF">2022-06-14T06:55:00Z</dcterms:created>
  <dcterms:modified xsi:type="dcterms:W3CDTF">2022-06-14T07:29:00Z</dcterms:modified>
</cp:coreProperties>
</file>